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2E" w:rsidRDefault="00AE152E" w:rsidP="00AE152E">
      <w:pPr>
        <w:spacing w:line="560" w:lineRule="exact"/>
        <w:jc w:val="center"/>
        <w:rPr>
          <w:rFonts w:ascii="黑体" w:eastAsia="黑体" w:hAnsi="黑体"/>
          <w:sz w:val="32"/>
          <w:szCs w:val="32"/>
        </w:rPr>
      </w:pPr>
      <w:r>
        <w:rPr>
          <w:rFonts w:ascii="黑体" w:eastAsia="黑体" w:hAnsi="黑体" w:hint="eastAsia"/>
          <w:sz w:val="32"/>
          <w:szCs w:val="32"/>
        </w:rPr>
        <w:t>广东青年网络文明志愿服务平台</w:t>
      </w:r>
    </w:p>
    <w:p w:rsidR="00AE152E" w:rsidRDefault="00AE152E" w:rsidP="00AE152E">
      <w:pPr>
        <w:spacing w:line="560" w:lineRule="exact"/>
        <w:jc w:val="center"/>
        <w:rPr>
          <w:rFonts w:ascii="黑体" w:eastAsia="黑体" w:hAnsi="黑体"/>
          <w:sz w:val="32"/>
          <w:szCs w:val="32"/>
        </w:rPr>
      </w:pPr>
      <w:r>
        <w:rPr>
          <w:rFonts w:ascii="黑体" w:eastAsia="黑体" w:hAnsi="黑体" w:hint="eastAsia"/>
          <w:sz w:val="32"/>
          <w:szCs w:val="32"/>
        </w:rPr>
        <w:t>操作指南</w:t>
      </w:r>
    </w:p>
    <w:p w:rsidR="00AE152E" w:rsidRDefault="00AE152E" w:rsidP="00AE152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一、工作要求</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根据《共青团中央关于广泛组建青年网络文明志愿者队伍、深入推进青年网络文明志愿行动的通知》（中青发〔2015〕9号）的要求，</w:t>
      </w:r>
      <w:proofErr w:type="gramStart"/>
      <w:r>
        <w:rPr>
          <w:rFonts w:ascii="仿宋_GB2312" w:eastAsia="仿宋_GB2312" w:hAnsi="仿宋_GB2312" w:cs="仿宋_GB2312" w:hint="eastAsia"/>
          <w:sz w:val="32"/>
          <w:szCs w:val="32"/>
        </w:rPr>
        <w:t>校青协</w:t>
      </w:r>
      <w:proofErr w:type="gramEnd"/>
      <w:r>
        <w:rPr>
          <w:rFonts w:ascii="仿宋_GB2312" w:eastAsia="仿宋_GB2312" w:hAnsi="仿宋_GB2312" w:cs="仿宋_GB2312" w:hint="eastAsia"/>
          <w:sz w:val="32"/>
          <w:szCs w:val="32"/>
        </w:rPr>
        <w:t>已在广东志愿者网站（www.gdzyz.cn）完成我校11个二级组织树的建设，并为每个单位分配了一个管理员账号和密码（另行下发），请各单位团委认真做好以下工作：</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)各单位团委需及时登录账号，建立并完善院系管理员信息。</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(二)各单位团委务必在二级组织树建立完毕后，准时保量发动本单位全体青年学生登录广东志愿者网站，注册成为“青年网络文明志愿者”。依据“一人一号”的原则，每人必须注册在其所属的二级单位中。</w:t>
      </w:r>
      <w:r>
        <w:rPr>
          <w:rFonts w:ascii="仿宋_GB2312" w:eastAsia="仿宋_GB2312" w:hAnsi="仿宋_GB2312" w:cs="仿宋_GB2312" w:hint="eastAsia"/>
          <w:b/>
          <w:bCs/>
          <w:sz w:val="32"/>
          <w:szCs w:val="32"/>
        </w:rPr>
        <w:t>此项工作请在4月10日前完成</w:t>
      </w:r>
      <w:r>
        <w:rPr>
          <w:rFonts w:ascii="仿宋_GB2312" w:eastAsia="仿宋_GB2312" w:hAnsi="仿宋_GB2312" w:cs="仿宋_GB2312" w:hint="eastAsia"/>
          <w:sz w:val="32"/>
          <w:szCs w:val="32"/>
        </w:rPr>
        <w:t>。</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(三)各单位团委需及时进入管理后台，对申请注册到本单位的志愿者或更改到自己院系下的志愿者信息进行审核</w:t>
      </w:r>
      <w:r>
        <w:rPr>
          <w:rFonts w:ascii="仿宋_GB2312" w:eastAsia="仿宋_GB2312" w:hAnsi="仿宋_GB2312" w:cs="仿宋_GB2312" w:hint="eastAsia"/>
          <w:b/>
          <w:bCs/>
          <w:sz w:val="32"/>
          <w:szCs w:val="32"/>
        </w:rPr>
        <w:t>。此项工作请在4月15日前完成。</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7" w:history="1">
        <w:r>
          <w:rPr>
            <w:rFonts w:ascii="仿宋_GB2312" w:eastAsia="仿宋_GB2312" w:hAnsi="仿宋_GB2312" w:cs="仿宋_GB2312" w:hint="eastAsia"/>
            <w:sz w:val="32"/>
            <w:szCs w:val="32"/>
          </w:rPr>
          <w:t>四)各单位团委需及时统计本学院学生注册情况，并</w:t>
        </w:r>
        <w:r>
          <w:rPr>
            <w:rFonts w:ascii="仿宋_GB2312" w:eastAsia="仿宋_GB2312" w:hAnsi="仿宋_GB2312" w:cs="仿宋_GB2312" w:hint="eastAsia"/>
            <w:b/>
            <w:bCs/>
            <w:sz w:val="32"/>
            <w:szCs w:val="32"/>
          </w:rPr>
          <w:t>于4月20日前</w:t>
        </w:r>
        <w:r>
          <w:rPr>
            <w:rFonts w:ascii="仿宋_GB2312" w:eastAsia="仿宋_GB2312" w:hAnsi="仿宋_GB2312" w:cs="仿宋_GB2312" w:hint="eastAsia"/>
            <w:sz w:val="32"/>
            <w:szCs w:val="32"/>
          </w:rPr>
          <w:t>以电子邮件形式报送情况统计表（见表一）到</w:t>
        </w:r>
        <w:r>
          <w:rPr>
            <w:rFonts w:ascii="仿宋_GB2312" w:eastAsia="仿宋_GB2312" w:hAnsi="仿宋_GB2312" w:cs="仿宋_GB2312" w:hint="eastAsia"/>
            <w:b/>
            <w:bCs/>
            <w:sz w:val="32"/>
            <w:szCs w:val="32"/>
          </w:rPr>
          <w:t>校青协管理部邮箱smuqxglb@163.com。</w:t>
        </w:r>
      </w:hyperlink>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丁津</w:t>
      </w:r>
      <w:proofErr w:type="gramEnd"/>
      <w:r>
        <w:rPr>
          <w:rFonts w:ascii="仿宋_GB2312" w:eastAsia="仿宋_GB2312" w:hAnsi="仿宋_GB2312" w:cs="仿宋_GB2312" w:hint="eastAsia"/>
          <w:sz w:val="32"/>
          <w:szCs w:val="32"/>
        </w:rPr>
        <w:t xml:space="preserve">  周栩悦    联系电话：48485   15627281472）</w:t>
      </w:r>
    </w:p>
    <w:p w:rsidR="00AE152E" w:rsidRDefault="00AE152E" w:rsidP="00AE152E">
      <w:pPr>
        <w:spacing w:line="560" w:lineRule="exact"/>
        <w:ind w:firstLineChars="200" w:firstLine="643"/>
        <w:rPr>
          <w:rFonts w:ascii="仿宋_GB2312" w:eastAsia="仿宋_GB2312" w:hAnsi="仿宋_GB2312" w:cs="仿宋_GB2312"/>
          <w:b/>
          <w:bCs/>
          <w:sz w:val="32"/>
          <w:szCs w:val="32"/>
        </w:rPr>
      </w:pPr>
      <w:bookmarkStart w:id="0" w:name="_Toc14763"/>
      <w:bookmarkStart w:id="1" w:name="_Toc23174"/>
      <w:r>
        <w:rPr>
          <w:rFonts w:ascii="仿宋_GB2312" w:eastAsia="仿宋_GB2312" w:hAnsi="仿宋_GB2312" w:cs="仿宋_GB2312" w:hint="eastAsia"/>
          <w:b/>
          <w:bCs/>
          <w:sz w:val="32"/>
          <w:szCs w:val="32"/>
        </w:rPr>
        <w:lastRenderedPageBreak/>
        <w:t>二、系统架构</w:t>
      </w:r>
      <w:bookmarkEnd w:id="0"/>
      <w:bookmarkEnd w:id="1"/>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广东志愿者</w:t>
      </w:r>
      <w:proofErr w:type="gramStart"/>
      <w:r>
        <w:rPr>
          <w:rFonts w:ascii="仿宋_GB2312" w:eastAsia="仿宋_GB2312" w:hAnsi="仿宋_GB2312" w:cs="仿宋_GB2312" w:hint="eastAsia"/>
          <w:sz w:val="32"/>
          <w:szCs w:val="32"/>
        </w:rPr>
        <w:t>网站现</w:t>
      </w:r>
      <w:proofErr w:type="gramEnd"/>
      <w:r>
        <w:rPr>
          <w:rFonts w:ascii="仿宋_GB2312" w:eastAsia="仿宋_GB2312" w:hAnsi="仿宋_GB2312" w:cs="仿宋_GB2312" w:hint="eastAsia"/>
          <w:sz w:val="32"/>
          <w:szCs w:val="32"/>
        </w:rPr>
        <w:t>设“地市”、“行业”、“高校”三个分站。</w:t>
      </w:r>
    </w:p>
    <w:p w:rsidR="00AE152E" w:rsidRDefault="00AE152E" w:rsidP="00AE152E">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2105025" cy="590550"/>
            <wp:effectExtent l="0" t="0" r="9525" b="0"/>
            <wp:docPr id="12" name="图片 12" descr="KS5)]`NJIK2VPJW58RYC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5)]`NJIK2VPJW58RYC4}C"/>
                    <pic:cNvPicPr>
                      <a:picLocks noChangeAspect="1" noChangeArrowheads="1"/>
                    </pic:cNvPicPr>
                  </pic:nvPicPr>
                  <pic:blipFill>
                    <a:blip r:embed="rId8">
                      <a:extLst>
                        <a:ext uri="{28A0092B-C50C-407E-A947-70E740481C1C}">
                          <a14:useLocalDpi xmlns:a14="http://schemas.microsoft.com/office/drawing/2010/main" val="0"/>
                        </a:ext>
                      </a:extLst>
                    </a:blip>
                    <a:srcRect b="82025"/>
                    <a:stretch>
                      <a:fillRect/>
                    </a:stretch>
                  </pic:blipFill>
                  <pic:spPr bwMode="auto">
                    <a:xfrm>
                      <a:off x="0" y="0"/>
                      <a:ext cx="2105025" cy="590550"/>
                    </a:xfrm>
                    <a:prstGeom prst="rect">
                      <a:avLst/>
                    </a:prstGeom>
                    <a:noFill/>
                    <a:ln>
                      <a:noFill/>
                    </a:ln>
                  </pic:spPr>
                </pic:pic>
              </a:graphicData>
            </a:graphic>
          </wp:inline>
        </w:drawing>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高校系统的青年网络文明志愿者隶属“高校”分站下各高等学校管理。高校系统建立“高校---各院系”分级管理的纵向架构。</w:t>
      </w:r>
    </w:p>
    <w:p w:rsidR="00AE152E" w:rsidRDefault="00AE152E" w:rsidP="00AE152E">
      <w:pPr>
        <w:ind w:firstLineChars="200" w:firstLine="640"/>
        <w:jc w:val="center"/>
        <w:rPr>
          <w:sz w:val="32"/>
          <w:szCs w:val="32"/>
        </w:rPr>
      </w:pPr>
      <w:r>
        <w:rPr>
          <w:noProof/>
          <w:sz w:val="32"/>
          <w:szCs w:val="32"/>
        </w:rPr>
        <w:drawing>
          <wp:inline distT="0" distB="0" distL="0" distR="0">
            <wp:extent cx="3505200" cy="3390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3390900"/>
                    </a:xfrm>
                    <a:prstGeom prst="rect">
                      <a:avLst/>
                    </a:prstGeom>
                    <a:noFill/>
                    <a:ln>
                      <a:noFill/>
                    </a:ln>
                  </pic:spPr>
                </pic:pic>
              </a:graphicData>
            </a:graphic>
          </wp:inline>
        </w:drawing>
      </w:r>
    </w:p>
    <w:p w:rsidR="00AE152E" w:rsidRDefault="00AE152E" w:rsidP="00AE152E">
      <w:pPr>
        <w:spacing w:line="560" w:lineRule="exact"/>
        <w:ind w:firstLineChars="200" w:firstLine="643"/>
        <w:rPr>
          <w:rFonts w:ascii="仿宋_GB2312" w:eastAsia="仿宋_GB2312" w:hAnsi="仿宋_GB2312" w:cs="仿宋_GB2312"/>
          <w:b/>
          <w:bCs/>
          <w:sz w:val="32"/>
          <w:szCs w:val="32"/>
        </w:rPr>
      </w:pPr>
      <w:bookmarkStart w:id="2" w:name="_Toc28909"/>
      <w:bookmarkStart w:id="3" w:name="_Toc12181"/>
      <w:r>
        <w:rPr>
          <w:rFonts w:ascii="仿宋_GB2312" w:eastAsia="仿宋_GB2312" w:hAnsi="仿宋_GB2312" w:cs="仿宋_GB2312" w:hint="eastAsia"/>
          <w:b/>
          <w:bCs/>
          <w:sz w:val="32"/>
          <w:szCs w:val="32"/>
        </w:rPr>
        <w:t>三、人员组成</w:t>
      </w:r>
      <w:bookmarkEnd w:id="2"/>
      <w:bookmarkEnd w:id="3"/>
    </w:p>
    <w:p w:rsidR="00AE152E" w:rsidRDefault="00AE152E" w:rsidP="00AE152E">
      <w:pPr>
        <w:spacing w:line="560" w:lineRule="exact"/>
        <w:ind w:firstLineChars="150" w:firstLine="480"/>
        <w:rPr>
          <w:rFonts w:ascii="楷体" w:eastAsia="楷体" w:hAnsi="楷体" w:cs="仿宋_GB2312"/>
          <w:sz w:val="32"/>
          <w:szCs w:val="32"/>
        </w:rPr>
      </w:pPr>
      <w:r>
        <w:rPr>
          <w:rFonts w:ascii="楷体" w:eastAsia="楷体" w:hAnsi="楷体" w:cs="仿宋_GB2312" w:hint="eastAsia"/>
          <w:sz w:val="32"/>
          <w:szCs w:val="32"/>
        </w:rPr>
        <w:t>（一）高校管理员</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高校管理员分为两类：</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1.高校一级管理员，此管理员为高级管理员，由团省委学校部统一编制提供各校账号密码。该高校级别管理员，需要建立所在高校二级院系组织树，编制所在高校二级院系管理员。</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2.二级院系管理员，此管理员为普通管理员，由高校一级管理员编制创建，统一分配给二级院系团委使用。</w:t>
      </w:r>
      <w:r>
        <w:rPr>
          <w:rFonts w:ascii="仿宋_GB2312" w:eastAsia="仿宋_GB2312" w:hAnsi="仿宋_GB2312" w:cs="仿宋_GB2312" w:hint="eastAsia"/>
          <w:b/>
          <w:bCs/>
          <w:color w:val="FF0000"/>
          <w:sz w:val="32"/>
          <w:szCs w:val="32"/>
        </w:rPr>
        <w:t>该二级院系管理员，需要审核认证普通志愿者的注册工作。</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楷体" w:eastAsia="楷体" w:hAnsi="楷体" w:cs="仿宋_GB2312" w:hint="eastAsia"/>
          <w:sz w:val="32"/>
          <w:szCs w:val="32"/>
        </w:rPr>
        <w:t>（二）高校系统的青年网络文明志愿者</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高校系统的青年网络文明志愿者是注册在“高校”分站下、在服务</w:t>
      </w:r>
      <w:proofErr w:type="gramStart"/>
      <w:r>
        <w:rPr>
          <w:rFonts w:ascii="仿宋_GB2312" w:eastAsia="仿宋_GB2312" w:hAnsi="仿宋_GB2312" w:cs="仿宋_GB2312" w:hint="eastAsia"/>
          <w:sz w:val="32"/>
          <w:szCs w:val="32"/>
        </w:rPr>
        <w:t>类别勾选“网络文明”</w:t>
      </w:r>
      <w:proofErr w:type="gramEnd"/>
      <w:r>
        <w:rPr>
          <w:rFonts w:ascii="仿宋_GB2312" w:eastAsia="仿宋_GB2312" w:hAnsi="仿宋_GB2312" w:cs="仿宋_GB2312" w:hint="eastAsia"/>
          <w:sz w:val="32"/>
          <w:szCs w:val="32"/>
        </w:rPr>
        <w:t>的志愿者（服务类别可</w:t>
      </w:r>
      <w:proofErr w:type="gramStart"/>
      <w:r>
        <w:rPr>
          <w:rFonts w:ascii="仿宋_GB2312" w:eastAsia="仿宋_GB2312" w:hAnsi="仿宋_GB2312" w:cs="仿宋_GB2312" w:hint="eastAsia"/>
          <w:sz w:val="32"/>
          <w:szCs w:val="32"/>
        </w:rPr>
        <w:t>同时勾选多个</w:t>
      </w:r>
      <w:proofErr w:type="gramEnd"/>
      <w:r>
        <w:rPr>
          <w:rFonts w:ascii="仿宋_GB2312" w:eastAsia="仿宋_GB2312" w:hAnsi="仿宋_GB2312" w:cs="仿宋_GB2312" w:hint="eastAsia"/>
          <w:sz w:val="32"/>
          <w:szCs w:val="32"/>
        </w:rPr>
        <w:t>，但是</w:t>
      </w:r>
      <w:proofErr w:type="gramStart"/>
      <w:r>
        <w:rPr>
          <w:rFonts w:ascii="仿宋_GB2312" w:eastAsia="仿宋_GB2312" w:hAnsi="仿宋_GB2312" w:cs="仿宋_GB2312" w:hint="eastAsia"/>
          <w:sz w:val="32"/>
          <w:szCs w:val="32"/>
        </w:rPr>
        <w:t>必须勾选“网络文明”</w:t>
      </w:r>
      <w:proofErr w:type="gramEnd"/>
      <w:r>
        <w:rPr>
          <w:rFonts w:ascii="仿宋_GB2312" w:eastAsia="仿宋_GB2312" w:hAnsi="仿宋_GB2312" w:cs="仿宋_GB2312" w:hint="eastAsia"/>
          <w:sz w:val="32"/>
          <w:szCs w:val="32"/>
        </w:rPr>
        <w:t>选项），</w:t>
      </w:r>
      <w:r>
        <w:rPr>
          <w:rFonts w:ascii="黑体" w:eastAsia="黑体" w:hAnsi="黑体" w:cs="仿宋_GB2312" w:hint="eastAsia"/>
          <w:b/>
          <w:color w:val="FF0000"/>
          <w:sz w:val="32"/>
          <w:szCs w:val="32"/>
        </w:rPr>
        <w:t>个人注册时务必填写所属“高校”和所属“二级院系”</w:t>
      </w:r>
      <w:r>
        <w:rPr>
          <w:rFonts w:ascii="仿宋_GB2312" w:eastAsia="仿宋_GB2312" w:hAnsi="仿宋_GB2312" w:cs="仿宋_GB2312" w:hint="eastAsia"/>
          <w:sz w:val="32"/>
          <w:szCs w:val="32"/>
        </w:rPr>
        <w:t>。</w:t>
      </w:r>
    </w:p>
    <w:p w:rsidR="00AE152E" w:rsidRDefault="00AE152E" w:rsidP="00AE152E">
      <w:pPr>
        <w:spacing w:line="560" w:lineRule="exact"/>
        <w:ind w:firstLineChars="200" w:firstLine="600"/>
        <w:rPr>
          <w:rFonts w:ascii="仿宋_GB2312" w:eastAsia="仿宋_GB2312" w:hAnsi="仿宋_GB2312" w:cs="仿宋_GB2312"/>
          <w:sz w:val="30"/>
          <w:szCs w:val="30"/>
        </w:rPr>
      </w:pPr>
    </w:p>
    <w:p w:rsidR="00AE152E" w:rsidRDefault="00AE152E" w:rsidP="00AE152E">
      <w:pPr>
        <w:spacing w:line="560" w:lineRule="exact"/>
        <w:ind w:firstLineChars="200" w:firstLine="643"/>
        <w:rPr>
          <w:rFonts w:ascii="仿宋_GB2312" w:eastAsia="仿宋_GB2312" w:hAnsi="仿宋_GB2312" w:cs="仿宋_GB2312"/>
          <w:b/>
          <w:bCs/>
          <w:sz w:val="32"/>
          <w:szCs w:val="32"/>
        </w:rPr>
      </w:pPr>
      <w:bookmarkStart w:id="4" w:name="_Toc15973"/>
      <w:bookmarkStart w:id="5" w:name="_Toc12253"/>
      <w:r>
        <w:rPr>
          <w:rFonts w:ascii="仿宋_GB2312" w:eastAsia="仿宋_GB2312" w:hAnsi="仿宋_GB2312" w:cs="仿宋_GB2312" w:hint="eastAsia"/>
          <w:b/>
          <w:bCs/>
          <w:sz w:val="32"/>
          <w:szCs w:val="32"/>
        </w:rPr>
        <w:t>四、使用办法</w:t>
      </w:r>
      <w:bookmarkEnd w:id="4"/>
      <w:bookmarkEnd w:id="5"/>
    </w:p>
    <w:p w:rsidR="00AE152E" w:rsidRDefault="00AE152E" w:rsidP="00AE152E">
      <w:pPr>
        <w:spacing w:line="560" w:lineRule="exact"/>
        <w:ind w:firstLineChars="200" w:firstLine="640"/>
        <w:rPr>
          <w:rFonts w:ascii="楷体" w:eastAsia="楷体" w:hAnsi="楷体" w:cs="仿宋_GB2312"/>
          <w:sz w:val="32"/>
          <w:szCs w:val="32"/>
        </w:rPr>
      </w:pPr>
      <w:bookmarkStart w:id="6" w:name="_Toc29908"/>
      <w:bookmarkStart w:id="7" w:name="_Toc29903"/>
      <w:r>
        <w:rPr>
          <w:rFonts w:ascii="楷体" w:eastAsia="楷体" w:hAnsi="楷体" w:cs="仿宋_GB2312" w:hint="eastAsia"/>
          <w:sz w:val="32"/>
          <w:szCs w:val="32"/>
        </w:rPr>
        <w:t>（一）组织（管理）用户</w:t>
      </w:r>
      <w:bookmarkEnd w:id="6"/>
      <w:bookmarkEnd w:id="7"/>
    </w:p>
    <w:p w:rsidR="00AE152E" w:rsidRDefault="00AE152E" w:rsidP="00AE152E">
      <w:pPr>
        <w:spacing w:line="560" w:lineRule="exact"/>
        <w:rPr>
          <w:rFonts w:ascii="仿宋_GB2312" w:eastAsia="仿宋_GB2312" w:hAnsi="楷体" w:cs="仿宋_GB2312"/>
          <w:sz w:val="32"/>
          <w:szCs w:val="32"/>
        </w:rPr>
      </w:pPr>
      <w:bookmarkStart w:id="8" w:name="_Toc24219"/>
      <w:bookmarkStart w:id="9" w:name="_Toc13264"/>
      <w:r>
        <w:rPr>
          <w:rFonts w:ascii="仿宋_GB2312" w:eastAsia="仿宋_GB2312" w:hAnsi="楷体" w:cs="仿宋_GB2312" w:hint="eastAsia"/>
          <w:sz w:val="32"/>
          <w:szCs w:val="32"/>
        </w:rPr>
        <w:t xml:space="preserve">    1.建立并完善二级院系管理员</w:t>
      </w:r>
      <w:bookmarkEnd w:id="8"/>
      <w:bookmarkEnd w:id="9"/>
      <w:r>
        <w:rPr>
          <w:rFonts w:ascii="仿宋_GB2312" w:eastAsia="仿宋_GB2312" w:hAnsi="楷体" w:cs="仿宋_GB2312" w:hint="eastAsia"/>
          <w:sz w:val="32"/>
          <w:szCs w:val="32"/>
        </w:rPr>
        <w:t>信息</w:t>
      </w:r>
    </w:p>
    <w:p w:rsidR="00AE152E" w:rsidRDefault="00AE152E" w:rsidP="00AE152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进入“管理后台”--“志愿者管理”--“添加志愿者”，录入高校二级院系的管理员信息，填写带“*”项目。</w:t>
      </w:r>
    </w:p>
    <w:p w:rsidR="00AE152E" w:rsidRDefault="00AE152E" w:rsidP="00AE152E">
      <w:pPr>
        <w:spacing w:line="276" w:lineRule="auto"/>
        <w:ind w:firstLineChars="200" w:firstLine="480"/>
        <w:rPr>
          <w:rFonts w:ascii="仿宋_GB2312" w:eastAsia="仿宋_GB2312" w:hAnsi="仿宋_GB2312" w:cs="仿宋_GB2312"/>
          <w:sz w:val="30"/>
          <w:szCs w:val="30"/>
        </w:rPr>
      </w:pPr>
      <w:r>
        <w:rPr>
          <w:rFonts w:ascii="宋体" w:hAnsi="宋体" w:cs="宋体"/>
          <w:noProof/>
          <w:kern w:val="0"/>
          <w:sz w:val="24"/>
        </w:rPr>
        <w:drawing>
          <wp:inline distT="0" distB="0" distL="0" distR="0">
            <wp:extent cx="5486400" cy="1990725"/>
            <wp:effectExtent l="0" t="0" r="0" b="9525"/>
            <wp:docPr id="10" name="图片 10" descr="EVG4EA5BVKC3K_X`43Z$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G4EA5BVKC3K_X`43Z$2{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990725"/>
                    </a:xfrm>
                    <a:prstGeom prst="rect">
                      <a:avLst/>
                    </a:prstGeom>
                    <a:noFill/>
                    <a:ln>
                      <a:noFill/>
                    </a:ln>
                  </pic:spPr>
                </pic:pic>
              </a:graphicData>
            </a:graphic>
          </wp:inline>
        </w:drawing>
      </w:r>
    </w:p>
    <w:p w:rsidR="00AE152E" w:rsidRDefault="00AE152E" w:rsidP="00AE152E">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所属组ID：</w:t>
      </w:r>
      <w:r>
        <w:rPr>
          <w:rFonts w:ascii="仿宋_GB2312" w:eastAsia="仿宋_GB2312" w:hAnsi="仿宋_GB2312" w:cs="仿宋_GB2312" w:hint="eastAsia"/>
          <w:sz w:val="32"/>
          <w:szCs w:val="32"/>
          <w:u w:val="single"/>
        </w:rPr>
        <w:t>普通管理员</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登录账号名称：高校全称+二级院系全称+</w:t>
      </w:r>
      <w:proofErr w:type="spellStart"/>
      <w:r>
        <w:rPr>
          <w:rFonts w:ascii="仿宋_GB2312" w:eastAsia="仿宋_GB2312" w:hAnsi="仿宋_GB2312" w:cs="仿宋_GB2312" w:hint="eastAsia"/>
          <w:sz w:val="32"/>
          <w:szCs w:val="32"/>
        </w:rPr>
        <w:t>wlwm</w:t>
      </w:r>
      <w:proofErr w:type="spellEnd"/>
      <w:r>
        <w:rPr>
          <w:rFonts w:ascii="仿宋_GB2312" w:eastAsia="仿宋_GB2312" w:hAnsi="仿宋_GB2312" w:cs="仿宋_GB2312" w:hint="eastAsia"/>
          <w:sz w:val="32"/>
          <w:szCs w:val="32"/>
        </w:rPr>
        <w:t>，如南方医科大学外国语学院可以设置为</w:t>
      </w:r>
      <w:proofErr w:type="spellStart"/>
      <w:r>
        <w:rPr>
          <w:rFonts w:ascii="仿宋_GB2312" w:eastAsia="仿宋_GB2312" w:hAnsi="仿宋_GB2312" w:cs="仿宋_GB2312" w:hint="eastAsia"/>
          <w:sz w:val="32"/>
          <w:szCs w:val="32"/>
        </w:rPr>
        <w:t>smuwgyxywlwm</w:t>
      </w:r>
      <w:proofErr w:type="spellEnd"/>
      <w:r>
        <w:rPr>
          <w:rFonts w:ascii="仿宋_GB2312" w:eastAsia="仿宋_GB2312" w:hAnsi="仿宋_GB2312" w:cs="仿宋_GB2312" w:hint="eastAsia"/>
          <w:sz w:val="32"/>
          <w:szCs w:val="32"/>
        </w:rPr>
        <w:t>。用户姓名：高校全称+二级院系全称+管理员。</w:t>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各院系管理员姓名：学校名+二级院系名称。</w:t>
      </w:r>
    </w:p>
    <w:p w:rsidR="00AE152E" w:rsidRDefault="00AE152E" w:rsidP="00AE152E">
      <w:pPr>
        <w:spacing w:line="560" w:lineRule="exact"/>
        <w:ind w:firstLineChars="200" w:firstLine="643"/>
        <w:rPr>
          <w:rFonts w:ascii="仿宋_GB2312" w:eastAsia="仿宋_GB2312" w:hAnsi="仿宋_GB2312" w:cs="仿宋_GB2312"/>
          <w:sz w:val="32"/>
          <w:szCs w:val="32"/>
        </w:rPr>
      </w:pPr>
      <w:r>
        <w:rPr>
          <w:rFonts w:ascii="黑体" w:eastAsia="黑体" w:hAnsi="黑体" w:cs="仿宋_GB2312" w:hint="eastAsia"/>
          <w:b/>
          <w:color w:val="FF0000"/>
          <w:sz w:val="32"/>
          <w:szCs w:val="32"/>
        </w:rPr>
        <w:lastRenderedPageBreak/>
        <w:t>各二级院系管理员的“所属地区”，务必归选到所属的二级院系，以便后期对所属院系志愿者进行审核认定。</w:t>
      </w:r>
      <w:r>
        <w:rPr>
          <w:rFonts w:ascii="仿宋_GB2312" w:eastAsia="仿宋_GB2312" w:hAnsi="仿宋_GB2312" w:cs="仿宋_GB2312" w:hint="eastAsia"/>
          <w:sz w:val="32"/>
          <w:szCs w:val="32"/>
        </w:rPr>
        <w:t>如下图：</w:t>
      </w:r>
    </w:p>
    <w:p w:rsidR="00AE152E" w:rsidRDefault="00AE152E" w:rsidP="00AE152E">
      <w:pPr>
        <w:spacing w:line="276" w:lineRule="auto"/>
        <w:ind w:firstLineChars="200" w:firstLine="480"/>
        <w:rPr>
          <w:rFonts w:ascii="宋体" w:hAnsi="宋体" w:cs="宋体"/>
          <w:kern w:val="0"/>
          <w:sz w:val="24"/>
        </w:rPr>
      </w:pPr>
      <w:r>
        <w:rPr>
          <w:rFonts w:ascii="宋体" w:hAnsi="宋体" w:cs="宋体"/>
          <w:noProof/>
          <w:kern w:val="0"/>
          <w:sz w:val="24"/>
        </w:rPr>
        <w:drawing>
          <wp:inline distT="0" distB="0" distL="0" distR="0">
            <wp:extent cx="4038600" cy="723900"/>
            <wp:effectExtent l="0" t="0" r="0" b="0"/>
            <wp:docPr id="9" name="图片 9" descr="89R0~B`H@SRUE_X~U`GDL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9R0~B`H@SRUE_X~U`GDLXR"/>
                    <pic:cNvPicPr>
                      <a:picLocks noChangeAspect="1" noChangeArrowheads="1"/>
                    </pic:cNvPicPr>
                  </pic:nvPicPr>
                  <pic:blipFill>
                    <a:blip r:embed="rId11">
                      <a:extLst>
                        <a:ext uri="{28A0092B-C50C-407E-A947-70E740481C1C}">
                          <a14:useLocalDpi xmlns:a14="http://schemas.microsoft.com/office/drawing/2010/main" val="0"/>
                        </a:ext>
                      </a:extLst>
                    </a:blip>
                    <a:srcRect b="83073"/>
                    <a:stretch>
                      <a:fillRect/>
                    </a:stretch>
                  </pic:blipFill>
                  <pic:spPr bwMode="auto">
                    <a:xfrm>
                      <a:off x="0" y="0"/>
                      <a:ext cx="4038600" cy="723900"/>
                    </a:xfrm>
                    <a:prstGeom prst="rect">
                      <a:avLst/>
                    </a:prstGeom>
                    <a:noFill/>
                    <a:ln>
                      <a:noFill/>
                    </a:ln>
                  </pic:spPr>
                </pic:pic>
              </a:graphicData>
            </a:graphic>
          </wp:inline>
        </w:drawing>
      </w:r>
    </w:p>
    <w:p w:rsidR="00AE152E" w:rsidRDefault="00AE152E" w:rsidP="00AE152E">
      <w:pPr>
        <w:spacing w:line="276" w:lineRule="auto"/>
        <w:ind w:firstLineChars="200" w:firstLine="480"/>
        <w:rPr>
          <w:rFonts w:ascii="宋体" w:hAnsi="宋体" w:cs="宋体"/>
          <w:kern w:val="0"/>
          <w:sz w:val="24"/>
        </w:rPr>
      </w:pPr>
      <w:r>
        <w:rPr>
          <w:rFonts w:ascii="宋体" w:hAnsi="宋体" w:cs="宋体"/>
          <w:noProof/>
          <w:kern w:val="0"/>
          <w:sz w:val="24"/>
        </w:rPr>
        <w:drawing>
          <wp:inline distT="0" distB="0" distL="0" distR="0">
            <wp:extent cx="4038600" cy="495300"/>
            <wp:effectExtent l="0" t="0" r="0" b="0"/>
            <wp:docPr id="8" name="图片 8" descr="89R0~B`H@SRUE_X~U`GDL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9R0~B`H@SRUE_X~U`GDLXR"/>
                    <pic:cNvPicPr>
                      <a:picLocks noChangeAspect="1" noChangeArrowheads="1"/>
                    </pic:cNvPicPr>
                  </pic:nvPicPr>
                  <pic:blipFill>
                    <a:blip r:embed="rId11">
                      <a:extLst>
                        <a:ext uri="{28A0092B-C50C-407E-A947-70E740481C1C}">
                          <a14:useLocalDpi xmlns:a14="http://schemas.microsoft.com/office/drawing/2010/main" val="0"/>
                        </a:ext>
                      </a:extLst>
                    </a:blip>
                    <a:srcRect t="88434"/>
                    <a:stretch>
                      <a:fillRect/>
                    </a:stretch>
                  </pic:blipFill>
                  <pic:spPr bwMode="auto">
                    <a:xfrm>
                      <a:off x="0" y="0"/>
                      <a:ext cx="4038600" cy="495300"/>
                    </a:xfrm>
                    <a:prstGeom prst="rect">
                      <a:avLst/>
                    </a:prstGeom>
                    <a:noFill/>
                    <a:ln>
                      <a:noFill/>
                    </a:ln>
                  </pic:spPr>
                </pic:pic>
              </a:graphicData>
            </a:graphic>
          </wp:inline>
        </w:drawing>
      </w:r>
    </w:p>
    <w:p w:rsidR="00AE152E" w:rsidRDefault="00AE152E" w:rsidP="00AE152E">
      <w:pPr>
        <w:spacing w:line="276" w:lineRule="auto"/>
        <w:ind w:firstLineChars="200" w:firstLine="480"/>
        <w:rPr>
          <w:rFonts w:ascii="仿宋_GB2312" w:eastAsia="仿宋_GB2312" w:hAnsi="仿宋_GB2312" w:cs="仿宋_GB2312"/>
          <w:sz w:val="30"/>
          <w:szCs w:val="30"/>
        </w:rPr>
      </w:pPr>
      <w:r>
        <w:rPr>
          <w:rFonts w:ascii="宋体" w:hAnsi="宋体" w:cs="宋体"/>
          <w:noProof/>
          <w:kern w:val="0"/>
          <w:sz w:val="24"/>
        </w:rPr>
        <w:drawing>
          <wp:inline distT="0" distB="0" distL="0" distR="0">
            <wp:extent cx="4333875" cy="352425"/>
            <wp:effectExtent l="0" t="0" r="9525" b="9525"/>
            <wp:docPr id="7" name="图片 7" descr="8]_RER3YS)9ZQSWVA]UYS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_RER3YS)9ZQSWVA]UYSX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352425"/>
                    </a:xfrm>
                    <a:prstGeom prst="rect">
                      <a:avLst/>
                    </a:prstGeom>
                    <a:noFill/>
                    <a:ln>
                      <a:noFill/>
                    </a:ln>
                  </pic:spPr>
                </pic:pic>
              </a:graphicData>
            </a:graphic>
          </wp:inline>
        </w:drawing>
      </w:r>
    </w:p>
    <w:p w:rsidR="00AE152E" w:rsidRDefault="00AE152E" w:rsidP="00AE152E">
      <w:pPr>
        <w:spacing w:line="560" w:lineRule="exact"/>
        <w:ind w:firstLineChars="200" w:firstLine="640"/>
        <w:rPr>
          <w:rFonts w:ascii="仿宋_GB2312" w:eastAsia="仿宋_GB2312" w:hAnsi="楷体" w:cs="仿宋_GB2312"/>
          <w:sz w:val="32"/>
          <w:szCs w:val="32"/>
        </w:rPr>
      </w:pPr>
      <w:bookmarkStart w:id="10" w:name="_Toc16372"/>
      <w:bookmarkStart w:id="11" w:name="_Toc19100"/>
      <w:r>
        <w:rPr>
          <w:rFonts w:ascii="仿宋_GB2312" w:eastAsia="仿宋_GB2312" w:hAnsi="楷体" w:cs="仿宋_GB2312" w:hint="eastAsia"/>
          <w:sz w:val="32"/>
          <w:szCs w:val="32"/>
        </w:rPr>
        <w:t>（2）审核志愿者</w:t>
      </w:r>
      <w:bookmarkEnd w:id="10"/>
      <w:bookmarkEnd w:id="11"/>
    </w:p>
    <w:p w:rsidR="00AE152E" w:rsidRDefault="00AE152E" w:rsidP="00AE152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进入“管理后台”--“注册管理”--“未审核志愿者”，对申请注册到本院系的志愿者或更改到自己院系下的志愿者信息进行审核。</w:t>
      </w:r>
    </w:p>
    <w:p w:rsidR="00AE152E" w:rsidRDefault="00AE152E" w:rsidP="00AE152E">
      <w:pPr>
        <w:jc w:val="center"/>
        <w:rPr>
          <w:sz w:val="32"/>
          <w:szCs w:val="32"/>
        </w:rPr>
      </w:pPr>
      <w:r>
        <w:rPr>
          <w:noProof/>
          <w:sz w:val="32"/>
          <w:szCs w:val="32"/>
        </w:rPr>
        <w:drawing>
          <wp:inline distT="0" distB="0" distL="0" distR="0">
            <wp:extent cx="1619250" cy="29432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2943225"/>
                    </a:xfrm>
                    <a:prstGeom prst="rect">
                      <a:avLst/>
                    </a:prstGeom>
                    <a:noFill/>
                    <a:ln>
                      <a:noFill/>
                    </a:ln>
                  </pic:spPr>
                </pic:pic>
              </a:graphicData>
            </a:graphic>
          </wp:inline>
        </w:drawing>
      </w:r>
    </w:p>
    <w:p w:rsidR="00AE152E" w:rsidRDefault="00AE152E" w:rsidP="00AE152E">
      <w:pPr>
        <w:jc w:val="center"/>
        <w:rPr>
          <w:sz w:val="32"/>
          <w:szCs w:val="32"/>
        </w:rPr>
      </w:pPr>
      <w:r>
        <w:rPr>
          <w:rFonts w:ascii="仿宋_GB2312" w:eastAsia="仿宋_GB2312" w:hAnsi="仿宋_GB2312" w:cs="仿宋_GB2312"/>
          <w:noProof/>
          <w:sz w:val="30"/>
          <w:szCs w:val="30"/>
        </w:rPr>
        <w:drawing>
          <wp:inline distT="0" distB="0" distL="0" distR="0">
            <wp:extent cx="5553075" cy="1219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075" cy="1219200"/>
                    </a:xfrm>
                    <a:prstGeom prst="rect">
                      <a:avLst/>
                    </a:prstGeom>
                    <a:noFill/>
                    <a:ln>
                      <a:noFill/>
                    </a:ln>
                  </pic:spPr>
                </pic:pic>
              </a:graphicData>
            </a:graphic>
          </wp:inline>
        </w:drawing>
      </w:r>
    </w:p>
    <w:p w:rsidR="00AE152E" w:rsidRDefault="00AE152E" w:rsidP="00AE152E">
      <w:pPr>
        <w:rPr>
          <w:sz w:val="32"/>
          <w:szCs w:val="32"/>
        </w:rPr>
      </w:pPr>
    </w:p>
    <w:p w:rsidR="00AE152E" w:rsidRDefault="00AE152E" w:rsidP="00AE152E">
      <w:pPr>
        <w:spacing w:line="560" w:lineRule="exact"/>
        <w:ind w:firstLineChars="200" w:firstLine="640"/>
        <w:rPr>
          <w:rFonts w:ascii="楷体" w:eastAsia="楷体" w:hAnsi="楷体" w:cs="仿宋_GB2312"/>
          <w:sz w:val="32"/>
          <w:szCs w:val="32"/>
        </w:rPr>
      </w:pPr>
      <w:bookmarkStart w:id="12" w:name="_Toc21214"/>
      <w:bookmarkStart w:id="13" w:name="_Toc6973"/>
      <w:r>
        <w:rPr>
          <w:rFonts w:ascii="楷体" w:eastAsia="楷体" w:hAnsi="楷体" w:cs="仿宋_GB2312" w:hint="eastAsia"/>
          <w:sz w:val="32"/>
          <w:szCs w:val="32"/>
        </w:rPr>
        <w:lastRenderedPageBreak/>
        <w:t>（二）个人用户</w:t>
      </w:r>
      <w:bookmarkEnd w:id="12"/>
      <w:bookmarkEnd w:id="13"/>
    </w:p>
    <w:p w:rsidR="00AE152E" w:rsidRDefault="00AE152E" w:rsidP="00AE152E">
      <w:pPr>
        <w:spacing w:line="560" w:lineRule="exact"/>
        <w:ind w:firstLineChars="200" w:firstLine="640"/>
        <w:rPr>
          <w:rFonts w:ascii="仿宋_GB2312" w:eastAsia="仿宋_GB2312" w:hAnsi="楷体" w:cs="仿宋_GB2312"/>
          <w:sz w:val="32"/>
          <w:szCs w:val="32"/>
        </w:rPr>
      </w:pPr>
      <w:bookmarkStart w:id="14" w:name="_Toc29099"/>
      <w:r>
        <w:rPr>
          <w:rFonts w:ascii="仿宋_GB2312" w:eastAsia="仿宋_GB2312" w:hAnsi="楷体" w:cs="仿宋_GB2312" w:hint="eastAsia"/>
          <w:sz w:val="32"/>
          <w:szCs w:val="32"/>
        </w:rPr>
        <w:t>1.新注册为xx大学网络文明志愿者</w:t>
      </w:r>
      <w:bookmarkEnd w:id="14"/>
    </w:p>
    <w:p w:rsidR="00AE152E" w:rsidRDefault="00AE152E" w:rsidP="00AE152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登录网址：</w:t>
      </w:r>
      <w:hyperlink r:id="rId15" w:history="1">
        <w:r>
          <w:rPr>
            <w:rFonts w:hint="eastAsia"/>
            <w:sz w:val="32"/>
            <w:szCs w:val="32"/>
          </w:rPr>
          <w:t>www.gdzyz.cn</w:t>
        </w:r>
      </w:hyperlink>
      <w:r>
        <w:rPr>
          <w:rFonts w:ascii="仿宋_GB2312" w:eastAsia="仿宋_GB2312" w:hAnsi="仿宋_GB2312" w:cs="仿宋_GB2312" w:hint="eastAsia"/>
          <w:sz w:val="32"/>
          <w:szCs w:val="32"/>
        </w:rPr>
        <w:t>，点击右上角“注册”。</w:t>
      </w:r>
    </w:p>
    <w:p w:rsidR="00AE152E" w:rsidRDefault="00AE152E" w:rsidP="00AE152E">
      <w:pPr>
        <w:pStyle w:val="1"/>
        <w:ind w:firstLineChars="0" w:firstLine="0"/>
        <w:jc w:val="center"/>
      </w:pPr>
      <w:r>
        <w:rPr>
          <w:noProof/>
        </w:rPr>
        <w:drawing>
          <wp:inline distT="0" distB="0" distL="0" distR="0">
            <wp:extent cx="5724525" cy="6953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noFill/>
                    <a:ln>
                      <a:noFill/>
                    </a:ln>
                  </pic:spPr>
                </pic:pic>
              </a:graphicData>
            </a:graphic>
          </wp:inline>
        </w:drawing>
      </w:r>
    </w:p>
    <w:p w:rsidR="00AE152E" w:rsidRDefault="00AE152E" w:rsidP="00AE152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选择高</w:t>
      </w:r>
      <w:r>
        <w:rPr>
          <w:rFonts w:ascii="仿宋_GB2312" w:eastAsia="仿宋_GB2312" w:hAnsi="仿宋_GB2312" w:cs="仿宋_GB2312"/>
          <w:sz w:val="32"/>
          <w:szCs w:val="32"/>
        </w:rPr>
        <w:t>校</w:t>
      </w:r>
      <w:r>
        <w:rPr>
          <w:rFonts w:ascii="仿宋_GB2312" w:eastAsia="仿宋_GB2312" w:hAnsi="仿宋_GB2312" w:cs="仿宋_GB2312" w:hint="eastAsia"/>
          <w:sz w:val="32"/>
          <w:szCs w:val="32"/>
        </w:rPr>
        <w:t>下的具体</w:t>
      </w:r>
      <w:r>
        <w:rPr>
          <w:rFonts w:ascii="仿宋_GB2312" w:eastAsia="仿宋_GB2312" w:hAnsi="仿宋_GB2312" w:cs="仿宋_GB2312"/>
          <w:sz w:val="32"/>
          <w:szCs w:val="32"/>
        </w:rPr>
        <w:t>高校名称</w:t>
      </w:r>
      <w:r>
        <w:rPr>
          <w:rFonts w:ascii="仿宋_GB2312" w:eastAsia="仿宋_GB2312" w:hAnsi="仿宋_GB2312" w:cs="仿宋_GB2312" w:hint="eastAsia"/>
          <w:sz w:val="32"/>
          <w:szCs w:val="32"/>
        </w:rPr>
        <w:t>“南方医科大学”，进入注册页面。</w:t>
      </w:r>
    </w:p>
    <w:p w:rsidR="00AE152E" w:rsidRDefault="00AE152E" w:rsidP="00AE152E">
      <w:pPr>
        <w:ind w:firstLineChars="200" w:firstLine="420"/>
        <w:jc w:val="center"/>
      </w:pPr>
      <w:r>
        <w:rPr>
          <w:noProof/>
        </w:rPr>
        <w:drawing>
          <wp:inline distT="0" distB="0" distL="0" distR="0">
            <wp:extent cx="3048000" cy="2943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943225"/>
                    </a:xfrm>
                    <a:prstGeom prst="rect">
                      <a:avLst/>
                    </a:prstGeom>
                    <a:noFill/>
                    <a:ln>
                      <a:noFill/>
                    </a:ln>
                  </pic:spPr>
                </pic:pic>
              </a:graphicData>
            </a:graphic>
          </wp:inline>
        </w:drawing>
      </w:r>
    </w:p>
    <w:p w:rsidR="00AE152E" w:rsidRDefault="00AE152E" w:rsidP="00AE15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点</w:t>
      </w:r>
      <w:r>
        <w:rPr>
          <w:rFonts w:ascii="仿宋_GB2312" w:eastAsia="仿宋_GB2312" w:hAnsi="仿宋_GB2312" w:cs="仿宋_GB2312"/>
          <w:sz w:val="32"/>
          <w:szCs w:val="32"/>
        </w:rPr>
        <w:t>击归属单位</w:t>
      </w:r>
      <w:r>
        <w:rPr>
          <w:rFonts w:ascii="仿宋_GB2312" w:eastAsia="仿宋_GB2312" w:hAnsi="仿宋_GB2312" w:cs="仿宋_GB2312" w:hint="eastAsia"/>
          <w:sz w:val="32"/>
          <w:szCs w:val="32"/>
        </w:rPr>
        <w:t>，会弹出高</w:t>
      </w:r>
      <w:r>
        <w:rPr>
          <w:rFonts w:ascii="仿宋_GB2312" w:eastAsia="仿宋_GB2312" w:hAnsi="仿宋_GB2312" w:cs="仿宋_GB2312"/>
          <w:sz w:val="32"/>
          <w:szCs w:val="32"/>
        </w:rPr>
        <w:t>校组织</w:t>
      </w:r>
      <w:proofErr w:type="gramStart"/>
      <w:r>
        <w:rPr>
          <w:rFonts w:ascii="仿宋_GB2312" w:eastAsia="仿宋_GB2312" w:hAnsi="仿宋_GB2312" w:cs="仿宋_GB2312"/>
          <w:sz w:val="32"/>
          <w:szCs w:val="32"/>
        </w:rPr>
        <w:t>树</w:t>
      </w:r>
      <w:r>
        <w:rPr>
          <w:rFonts w:ascii="仿宋_GB2312" w:eastAsia="仿宋_GB2312" w:hAnsi="仿宋_GB2312" w:cs="仿宋_GB2312" w:hint="eastAsia"/>
          <w:sz w:val="32"/>
          <w:szCs w:val="32"/>
        </w:rPr>
        <w:t>选择</w:t>
      </w:r>
      <w:proofErr w:type="gramEnd"/>
      <w:r>
        <w:rPr>
          <w:rFonts w:ascii="仿宋_GB2312" w:eastAsia="仿宋_GB2312" w:hAnsi="仿宋_GB2312" w:cs="仿宋_GB2312"/>
          <w:sz w:val="32"/>
          <w:szCs w:val="32"/>
        </w:rPr>
        <w:t>所在</w:t>
      </w:r>
      <w:r>
        <w:rPr>
          <w:rFonts w:ascii="仿宋_GB2312" w:eastAsia="仿宋_GB2312" w:hAnsi="仿宋_GB2312" w:cs="仿宋_GB2312" w:hint="eastAsia"/>
          <w:sz w:val="32"/>
          <w:szCs w:val="32"/>
        </w:rPr>
        <w:t>院</w:t>
      </w:r>
      <w:r>
        <w:rPr>
          <w:rFonts w:ascii="仿宋_GB2312" w:eastAsia="仿宋_GB2312" w:hAnsi="仿宋_GB2312" w:cs="仿宋_GB2312"/>
          <w:sz w:val="32"/>
          <w:szCs w:val="32"/>
        </w:rPr>
        <w:t>系</w:t>
      </w:r>
      <w:r>
        <w:rPr>
          <w:rFonts w:ascii="仿宋_GB2312" w:eastAsia="仿宋_GB2312" w:hAnsi="仿宋_GB2312" w:cs="仿宋_GB2312" w:hint="eastAsia"/>
          <w:sz w:val="32"/>
          <w:szCs w:val="32"/>
        </w:rPr>
        <w:t>，其中“地址”与“归属单位”须在同一行政区域。</w:t>
      </w:r>
      <w:r>
        <w:rPr>
          <w:rFonts w:ascii="黑体" w:eastAsia="黑体" w:hAnsi="黑体" w:cs="仿宋_GB2312" w:hint="eastAsia"/>
          <w:b/>
          <w:color w:val="FF0000"/>
          <w:sz w:val="32"/>
          <w:szCs w:val="32"/>
        </w:rPr>
        <w:t>在</w:t>
      </w:r>
      <w:proofErr w:type="gramStart"/>
      <w:r>
        <w:rPr>
          <w:rFonts w:ascii="黑体" w:eastAsia="黑体" w:hAnsi="黑体" w:cs="仿宋_GB2312" w:hint="eastAsia"/>
          <w:b/>
          <w:color w:val="FF0000"/>
          <w:sz w:val="32"/>
          <w:szCs w:val="32"/>
        </w:rPr>
        <w:t>“服务类别”勾选“网络文明”</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并正确填写带“*”项目即可完成注册。</w:t>
      </w:r>
    </w:p>
    <w:p w:rsidR="00AE152E" w:rsidRDefault="00AE152E" w:rsidP="00AE152E">
      <w:pPr>
        <w:spacing w:line="560" w:lineRule="exact"/>
        <w:ind w:firstLineChars="200" w:firstLine="643"/>
        <w:rPr>
          <w:rFonts w:ascii="仿宋_GB2312" w:eastAsia="仿宋_GB2312" w:hAnsi="仿宋_GB2312" w:cs="仿宋_GB2312"/>
          <w:sz w:val="32"/>
          <w:szCs w:val="32"/>
        </w:rPr>
      </w:pPr>
      <w:r>
        <w:rPr>
          <w:rFonts w:ascii="黑体" w:eastAsia="黑体" w:hAnsi="黑体" w:cs="仿宋_GB2312" w:hint="eastAsia"/>
          <w:b/>
          <w:color w:val="FF0000"/>
          <w:sz w:val="32"/>
          <w:szCs w:val="32"/>
        </w:rPr>
        <w:t>新注册志愿者，选择归属只需归属到“所在高校”和所对应的“二级院系”即可，不要注册到如青年志愿者等各类社团里面</w:t>
      </w:r>
      <w:r>
        <w:rPr>
          <w:rFonts w:ascii="仿宋_GB2312" w:eastAsia="仿宋_GB2312" w:hAnsi="仿宋_GB2312" w:cs="仿宋_GB2312" w:hint="eastAsia"/>
          <w:sz w:val="32"/>
          <w:szCs w:val="32"/>
        </w:rPr>
        <w:t>。因为新注册志愿者的审核认定是由院系管理员操作，故新志愿者务必归口到二级院系里。</w:t>
      </w:r>
    </w:p>
    <w:p w:rsidR="00AE152E" w:rsidRDefault="00AE152E" w:rsidP="00AE152E">
      <w:pPr>
        <w:spacing w:line="560" w:lineRule="exact"/>
        <w:ind w:firstLineChars="200" w:firstLine="640"/>
        <w:rPr>
          <w:rFonts w:ascii="仿宋_GB2312" w:eastAsia="仿宋_GB2312" w:hAnsi="楷体" w:cs="仿宋_GB2312"/>
          <w:sz w:val="32"/>
          <w:szCs w:val="32"/>
        </w:rPr>
      </w:pPr>
      <w:bookmarkStart w:id="15" w:name="_Toc9937"/>
      <w:r>
        <w:rPr>
          <w:rFonts w:ascii="仿宋_GB2312" w:eastAsia="仿宋_GB2312" w:hAnsi="楷体" w:cs="仿宋_GB2312" w:hint="eastAsia"/>
          <w:sz w:val="32"/>
          <w:szCs w:val="32"/>
        </w:rPr>
        <w:t>2.已注册用户，我想同时成为网络文明志愿者</w:t>
      </w:r>
      <w:bookmarkEnd w:id="15"/>
    </w:p>
    <w:p w:rsidR="00AE152E" w:rsidRDefault="00AE152E" w:rsidP="00AE152E">
      <w:pPr>
        <w:spacing w:line="560" w:lineRule="exact"/>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登录后进入“修改资料”，在“认证资料”-“服务类别”</w:t>
      </w:r>
      <w:proofErr w:type="gramStart"/>
      <w:r>
        <w:rPr>
          <w:rFonts w:ascii="仿宋_GB2312" w:eastAsia="仿宋_GB2312" w:hAnsi="楷体" w:cs="仿宋_GB2312" w:hint="eastAsia"/>
          <w:sz w:val="32"/>
          <w:szCs w:val="32"/>
        </w:rPr>
        <w:lastRenderedPageBreak/>
        <w:t>处勾选“网络文明”</w:t>
      </w:r>
      <w:proofErr w:type="gramEnd"/>
      <w:r>
        <w:rPr>
          <w:rFonts w:ascii="仿宋_GB2312" w:eastAsia="仿宋_GB2312" w:hAnsi="楷体" w:cs="仿宋_GB2312" w:hint="eastAsia"/>
          <w:sz w:val="32"/>
          <w:szCs w:val="32"/>
        </w:rPr>
        <w:t>，并正确填写带“*”项。</w:t>
      </w:r>
    </w:p>
    <w:p w:rsidR="00AE152E" w:rsidRDefault="00AE152E" w:rsidP="00AE152E">
      <w:pPr>
        <w:pStyle w:val="1"/>
        <w:jc w:val="center"/>
      </w:pPr>
      <w:r>
        <w:rPr>
          <w:noProof/>
        </w:rPr>
        <w:drawing>
          <wp:inline distT="0" distB="0" distL="0" distR="0">
            <wp:extent cx="4314825" cy="3067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4825" cy="3067050"/>
                    </a:xfrm>
                    <a:prstGeom prst="rect">
                      <a:avLst/>
                    </a:prstGeom>
                    <a:noFill/>
                    <a:ln>
                      <a:noFill/>
                    </a:ln>
                  </pic:spPr>
                </pic:pic>
              </a:graphicData>
            </a:graphic>
          </wp:inline>
        </w:drawing>
      </w:r>
    </w:p>
    <w:p w:rsidR="00AE152E" w:rsidRDefault="00AE152E" w:rsidP="00AE152E">
      <w:pPr>
        <w:spacing w:line="560" w:lineRule="exact"/>
        <w:ind w:firstLineChars="200" w:firstLine="640"/>
        <w:rPr>
          <w:rFonts w:ascii="仿宋_GB2312" w:eastAsia="仿宋_GB2312" w:hAnsi="楷体" w:cs="仿宋_GB2312"/>
          <w:sz w:val="32"/>
          <w:szCs w:val="32"/>
        </w:rPr>
      </w:pPr>
      <w:bookmarkStart w:id="16" w:name="_Toc27773"/>
      <w:r>
        <w:rPr>
          <w:rFonts w:ascii="仿宋_GB2312" w:eastAsia="仿宋_GB2312" w:hAnsi="楷体" w:cs="仿宋_GB2312" w:hint="eastAsia"/>
          <w:sz w:val="32"/>
          <w:szCs w:val="32"/>
        </w:rPr>
        <w:t>3.我已注册在其它组织下，如何更改我的组织为高校</w:t>
      </w:r>
      <w:bookmarkEnd w:id="16"/>
    </w:p>
    <w:p w:rsidR="00AE152E" w:rsidRDefault="00AE152E" w:rsidP="00AE152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个人登录后进入“修改资料”，在“认证资料”处修改“归属单位”，归口为对应的高校和二级院系。</w:t>
      </w:r>
    </w:p>
    <w:p w:rsidR="00AE152E" w:rsidRDefault="00AE152E" w:rsidP="00AE152E">
      <w:pPr>
        <w:pStyle w:val="1"/>
        <w:jc w:val="center"/>
      </w:pPr>
      <w:r>
        <w:rPr>
          <w:noProof/>
        </w:rPr>
        <w:drawing>
          <wp:inline distT="0" distB="0" distL="0" distR="0">
            <wp:extent cx="5124450" cy="102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4450" cy="1028700"/>
                    </a:xfrm>
                    <a:prstGeom prst="rect">
                      <a:avLst/>
                    </a:prstGeom>
                    <a:noFill/>
                    <a:ln>
                      <a:noFill/>
                    </a:ln>
                  </pic:spPr>
                </pic:pic>
              </a:graphicData>
            </a:graphic>
          </wp:inline>
        </w:drawing>
      </w:r>
    </w:p>
    <w:p w:rsidR="00AE152E" w:rsidRDefault="00AE152E" w:rsidP="00AE152E">
      <w:pPr>
        <w:jc w:val="left"/>
        <w:rPr>
          <w:rFonts w:ascii="仿宋_GB2312" w:eastAsia="仿宋_GB2312"/>
          <w:sz w:val="32"/>
          <w:szCs w:val="32"/>
        </w:rPr>
      </w:pPr>
    </w:p>
    <w:p w:rsidR="00AE152E" w:rsidRDefault="00AE152E" w:rsidP="00AE152E">
      <w:r>
        <w:br w:type="page"/>
      </w:r>
    </w:p>
    <w:p w:rsidR="00AE152E" w:rsidRDefault="00AE152E" w:rsidP="00AE152E">
      <w:pPr>
        <w:spacing w:line="24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表</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 xml:space="preserve">：   </w:t>
      </w:r>
    </w:p>
    <w:p w:rsidR="00AE152E" w:rsidRDefault="00AE152E" w:rsidP="00AE152E">
      <w:pPr>
        <w:spacing w:line="240" w:lineRule="atLeas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南方医科大学2015年网络文明志愿者注册情况统计表</w:t>
      </w:r>
    </w:p>
    <w:tbl>
      <w:tblPr>
        <w:tblStyle w:val="a5"/>
        <w:tblW w:w="8340" w:type="dxa"/>
        <w:jc w:val="center"/>
        <w:tblInd w:w="155" w:type="dxa"/>
        <w:tblLayout w:type="fixed"/>
        <w:tblLook w:val="04A0" w:firstRow="1" w:lastRow="0" w:firstColumn="1" w:lastColumn="0" w:noHBand="0" w:noVBand="1"/>
      </w:tblPr>
      <w:tblGrid>
        <w:gridCol w:w="1197"/>
        <w:gridCol w:w="1241"/>
        <w:gridCol w:w="2265"/>
        <w:gridCol w:w="2430"/>
        <w:gridCol w:w="1207"/>
      </w:tblGrid>
      <w:tr w:rsidR="00AE152E" w:rsidTr="0046701A">
        <w:trPr>
          <w:trHeight w:val="412"/>
          <w:jc w:val="center"/>
        </w:trPr>
        <w:tc>
          <w:tcPr>
            <w:tcW w:w="1197" w:type="dxa"/>
          </w:tcPr>
          <w:p w:rsidR="00AE152E" w:rsidRDefault="00AE152E" w:rsidP="0046701A">
            <w:pPr>
              <w:widowControl/>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单位</w:t>
            </w:r>
          </w:p>
          <w:p w:rsidR="00AE152E" w:rsidRDefault="00AE152E" w:rsidP="0046701A">
            <w:pPr>
              <w:widowControl/>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名称</w:t>
            </w:r>
          </w:p>
        </w:tc>
        <w:tc>
          <w:tcPr>
            <w:tcW w:w="7143" w:type="dxa"/>
            <w:gridSpan w:val="4"/>
          </w:tcPr>
          <w:p w:rsidR="00AE152E" w:rsidRDefault="00AE152E" w:rsidP="0046701A">
            <w:pPr>
              <w:spacing w:line="240" w:lineRule="atLeast"/>
              <w:jc w:val="center"/>
              <w:rPr>
                <w:rFonts w:ascii="仿宋_GB2312" w:eastAsia="仿宋_GB2312" w:hAnsi="仿宋_GB2312" w:cs="仿宋_GB2312"/>
                <w:bCs/>
                <w:sz w:val="28"/>
                <w:szCs w:val="28"/>
              </w:rPr>
            </w:pPr>
          </w:p>
        </w:tc>
      </w:tr>
      <w:tr w:rsidR="00AE152E" w:rsidTr="0046701A">
        <w:trPr>
          <w:trHeight w:val="412"/>
          <w:jc w:val="center"/>
        </w:trPr>
        <w:tc>
          <w:tcPr>
            <w:tcW w:w="1197" w:type="dxa"/>
          </w:tcPr>
          <w:p w:rsidR="00AE152E" w:rsidRDefault="00AE152E" w:rsidP="0046701A">
            <w:pPr>
              <w:widowControl/>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年级/科室</w:t>
            </w:r>
          </w:p>
        </w:tc>
        <w:tc>
          <w:tcPr>
            <w:tcW w:w="1241" w:type="dxa"/>
          </w:tcPr>
          <w:p w:rsidR="00AE152E" w:rsidRDefault="00AE152E" w:rsidP="0046701A">
            <w:pPr>
              <w:widowControl/>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总团</w:t>
            </w:r>
          </w:p>
          <w:p w:rsidR="00AE152E" w:rsidRDefault="00AE152E" w:rsidP="0046701A">
            <w:pPr>
              <w:widowControl/>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员数</w:t>
            </w:r>
          </w:p>
        </w:tc>
        <w:tc>
          <w:tcPr>
            <w:tcW w:w="2265" w:type="dxa"/>
          </w:tcPr>
          <w:p w:rsidR="00AE152E" w:rsidRDefault="00AE152E" w:rsidP="0046701A">
            <w:pPr>
              <w:spacing w:line="240" w:lineRule="atLeas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已注册志愿者人数</w:t>
            </w:r>
          </w:p>
        </w:tc>
        <w:tc>
          <w:tcPr>
            <w:tcW w:w="2430" w:type="dxa"/>
          </w:tcPr>
          <w:p w:rsidR="00AE152E" w:rsidRDefault="00AE152E" w:rsidP="0046701A">
            <w:pPr>
              <w:spacing w:line="240" w:lineRule="atLeas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待审核志愿者人数</w:t>
            </w:r>
          </w:p>
        </w:tc>
        <w:tc>
          <w:tcPr>
            <w:tcW w:w="1207" w:type="dxa"/>
          </w:tcPr>
          <w:p w:rsidR="00AE152E" w:rsidRDefault="00AE152E" w:rsidP="0046701A">
            <w:pPr>
              <w:spacing w:line="240" w:lineRule="atLeas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备注</w:t>
            </w:r>
          </w:p>
        </w:tc>
      </w:tr>
      <w:tr w:rsidR="00AE152E" w:rsidTr="0046701A">
        <w:trPr>
          <w:trHeight w:val="843"/>
          <w:jc w:val="center"/>
        </w:trPr>
        <w:tc>
          <w:tcPr>
            <w:tcW w:w="1197" w:type="dxa"/>
          </w:tcPr>
          <w:p w:rsidR="00AE152E" w:rsidRDefault="00AE152E" w:rsidP="0046701A">
            <w:pPr>
              <w:widowControl/>
              <w:jc w:val="center"/>
              <w:rPr>
                <w:rFonts w:ascii="仿宋_GB2312" w:eastAsia="仿宋_GB2312" w:hAnsi="仿宋_GB2312" w:cs="仿宋_GB2312"/>
                <w:bCs/>
                <w:sz w:val="28"/>
                <w:szCs w:val="28"/>
              </w:rPr>
            </w:pPr>
          </w:p>
        </w:tc>
        <w:tc>
          <w:tcPr>
            <w:tcW w:w="1241" w:type="dxa"/>
          </w:tcPr>
          <w:p w:rsidR="00AE152E" w:rsidRDefault="00AE152E" w:rsidP="0046701A">
            <w:pPr>
              <w:widowControl/>
              <w:jc w:val="center"/>
              <w:rPr>
                <w:rFonts w:ascii="仿宋_GB2312" w:eastAsia="仿宋_GB2312" w:hAnsi="仿宋_GB2312" w:cs="仿宋_GB2312"/>
                <w:bCs/>
                <w:sz w:val="28"/>
                <w:szCs w:val="28"/>
              </w:rPr>
            </w:pPr>
          </w:p>
        </w:tc>
        <w:tc>
          <w:tcPr>
            <w:tcW w:w="2265"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2430"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1207" w:type="dxa"/>
          </w:tcPr>
          <w:p w:rsidR="00AE152E" w:rsidRDefault="00AE152E" w:rsidP="0046701A">
            <w:pPr>
              <w:spacing w:line="240" w:lineRule="atLeast"/>
              <w:jc w:val="left"/>
              <w:rPr>
                <w:rFonts w:ascii="仿宋_GB2312" w:eastAsia="仿宋_GB2312" w:hAnsi="仿宋_GB2312" w:cs="仿宋_GB2312"/>
                <w:bCs/>
                <w:sz w:val="28"/>
                <w:szCs w:val="28"/>
              </w:rPr>
            </w:pPr>
          </w:p>
        </w:tc>
      </w:tr>
      <w:tr w:rsidR="00AE152E" w:rsidTr="0046701A">
        <w:trPr>
          <w:trHeight w:val="843"/>
          <w:jc w:val="center"/>
        </w:trPr>
        <w:tc>
          <w:tcPr>
            <w:tcW w:w="1197" w:type="dxa"/>
          </w:tcPr>
          <w:p w:rsidR="00AE152E" w:rsidRDefault="00AE152E" w:rsidP="0046701A">
            <w:pPr>
              <w:widowControl/>
              <w:jc w:val="center"/>
              <w:rPr>
                <w:rFonts w:ascii="仿宋_GB2312" w:eastAsia="仿宋_GB2312" w:hAnsi="仿宋_GB2312" w:cs="仿宋_GB2312"/>
                <w:bCs/>
                <w:sz w:val="28"/>
                <w:szCs w:val="28"/>
              </w:rPr>
            </w:pPr>
          </w:p>
        </w:tc>
        <w:tc>
          <w:tcPr>
            <w:tcW w:w="1241" w:type="dxa"/>
          </w:tcPr>
          <w:p w:rsidR="00AE152E" w:rsidRDefault="00AE152E" w:rsidP="0046701A">
            <w:pPr>
              <w:widowControl/>
              <w:jc w:val="center"/>
              <w:rPr>
                <w:rFonts w:ascii="仿宋_GB2312" w:eastAsia="仿宋_GB2312" w:hAnsi="仿宋_GB2312" w:cs="仿宋_GB2312"/>
                <w:b/>
                <w:sz w:val="28"/>
                <w:szCs w:val="28"/>
              </w:rPr>
            </w:pPr>
          </w:p>
        </w:tc>
        <w:tc>
          <w:tcPr>
            <w:tcW w:w="2265"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2430"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1207" w:type="dxa"/>
          </w:tcPr>
          <w:p w:rsidR="00AE152E" w:rsidRDefault="00AE152E" w:rsidP="0046701A">
            <w:pPr>
              <w:spacing w:line="240" w:lineRule="atLeast"/>
              <w:jc w:val="left"/>
              <w:rPr>
                <w:rFonts w:ascii="仿宋_GB2312" w:eastAsia="仿宋_GB2312" w:hAnsi="仿宋_GB2312" w:cs="仿宋_GB2312"/>
                <w:bCs/>
                <w:sz w:val="28"/>
                <w:szCs w:val="28"/>
              </w:rPr>
            </w:pPr>
          </w:p>
        </w:tc>
      </w:tr>
      <w:tr w:rsidR="00AE152E" w:rsidTr="0046701A">
        <w:trPr>
          <w:trHeight w:val="843"/>
          <w:jc w:val="center"/>
        </w:trPr>
        <w:tc>
          <w:tcPr>
            <w:tcW w:w="1197" w:type="dxa"/>
          </w:tcPr>
          <w:p w:rsidR="00AE152E" w:rsidRDefault="00AE152E" w:rsidP="0046701A">
            <w:pPr>
              <w:widowControl/>
              <w:jc w:val="center"/>
              <w:rPr>
                <w:rFonts w:ascii="仿宋_GB2312" w:eastAsia="仿宋_GB2312" w:hAnsi="仿宋_GB2312" w:cs="仿宋_GB2312"/>
                <w:bCs/>
                <w:sz w:val="28"/>
                <w:szCs w:val="28"/>
              </w:rPr>
            </w:pPr>
          </w:p>
        </w:tc>
        <w:tc>
          <w:tcPr>
            <w:tcW w:w="1241" w:type="dxa"/>
          </w:tcPr>
          <w:p w:rsidR="00AE152E" w:rsidRDefault="00AE152E" w:rsidP="0046701A">
            <w:pPr>
              <w:widowControl/>
              <w:jc w:val="center"/>
              <w:rPr>
                <w:rFonts w:ascii="仿宋_GB2312" w:eastAsia="仿宋_GB2312" w:hAnsi="仿宋_GB2312" w:cs="仿宋_GB2312"/>
                <w:bCs/>
                <w:sz w:val="28"/>
                <w:szCs w:val="28"/>
              </w:rPr>
            </w:pPr>
          </w:p>
        </w:tc>
        <w:tc>
          <w:tcPr>
            <w:tcW w:w="2265"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2430"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1207" w:type="dxa"/>
          </w:tcPr>
          <w:p w:rsidR="00AE152E" w:rsidRDefault="00AE152E" w:rsidP="0046701A">
            <w:pPr>
              <w:spacing w:line="240" w:lineRule="atLeast"/>
              <w:jc w:val="left"/>
              <w:rPr>
                <w:rFonts w:ascii="仿宋_GB2312" w:eastAsia="仿宋_GB2312" w:hAnsi="仿宋_GB2312" w:cs="仿宋_GB2312"/>
                <w:bCs/>
                <w:sz w:val="28"/>
                <w:szCs w:val="28"/>
              </w:rPr>
            </w:pPr>
          </w:p>
        </w:tc>
      </w:tr>
      <w:tr w:rsidR="00AE152E" w:rsidTr="0046701A">
        <w:trPr>
          <w:trHeight w:val="843"/>
          <w:jc w:val="center"/>
        </w:trPr>
        <w:tc>
          <w:tcPr>
            <w:tcW w:w="1197" w:type="dxa"/>
          </w:tcPr>
          <w:p w:rsidR="00AE152E" w:rsidRDefault="00AE152E" w:rsidP="0046701A">
            <w:pPr>
              <w:widowControl/>
              <w:jc w:val="center"/>
              <w:rPr>
                <w:rFonts w:ascii="仿宋_GB2312" w:eastAsia="仿宋_GB2312" w:hAnsi="仿宋_GB2312" w:cs="仿宋_GB2312"/>
                <w:bCs/>
                <w:sz w:val="28"/>
                <w:szCs w:val="28"/>
              </w:rPr>
            </w:pPr>
          </w:p>
        </w:tc>
        <w:tc>
          <w:tcPr>
            <w:tcW w:w="1241" w:type="dxa"/>
          </w:tcPr>
          <w:p w:rsidR="00AE152E" w:rsidRDefault="00AE152E" w:rsidP="0046701A">
            <w:pPr>
              <w:widowControl/>
              <w:jc w:val="center"/>
              <w:rPr>
                <w:rFonts w:ascii="仿宋_GB2312" w:eastAsia="仿宋_GB2312" w:hAnsi="仿宋_GB2312" w:cs="仿宋_GB2312"/>
                <w:bCs/>
                <w:sz w:val="28"/>
                <w:szCs w:val="28"/>
              </w:rPr>
            </w:pPr>
          </w:p>
        </w:tc>
        <w:tc>
          <w:tcPr>
            <w:tcW w:w="2265"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2430" w:type="dxa"/>
          </w:tcPr>
          <w:p w:rsidR="00AE152E" w:rsidRDefault="00AE152E" w:rsidP="0046701A">
            <w:pPr>
              <w:spacing w:line="240" w:lineRule="atLeast"/>
              <w:jc w:val="left"/>
              <w:rPr>
                <w:rFonts w:ascii="仿宋_GB2312" w:eastAsia="仿宋_GB2312" w:hAnsi="仿宋_GB2312" w:cs="仿宋_GB2312"/>
                <w:bCs/>
                <w:sz w:val="28"/>
                <w:szCs w:val="28"/>
              </w:rPr>
            </w:pPr>
          </w:p>
        </w:tc>
        <w:tc>
          <w:tcPr>
            <w:tcW w:w="1207" w:type="dxa"/>
          </w:tcPr>
          <w:p w:rsidR="00AE152E" w:rsidRDefault="00AE152E" w:rsidP="0046701A">
            <w:pPr>
              <w:spacing w:line="240" w:lineRule="atLeast"/>
              <w:jc w:val="left"/>
              <w:rPr>
                <w:rFonts w:ascii="仿宋_GB2312" w:eastAsia="仿宋_GB2312" w:hAnsi="仿宋_GB2312" w:cs="仿宋_GB2312"/>
                <w:bCs/>
                <w:sz w:val="28"/>
                <w:szCs w:val="28"/>
              </w:rPr>
            </w:pPr>
          </w:p>
        </w:tc>
      </w:tr>
      <w:tr w:rsidR="00AE152E" w:rsidTr="0046701A">
        <w:trPr>
          <w:trHeight w:val="843"/>
          <w:jc w:val="center"/>
        </w:trPr>
        <w:tc>
          <w:tcPr>
            <w:tcW w:w="8340" w:type="dxa"/>
            <w:gridSpan w:val="5"/>
          </w:tcPr>
          <w:p w:rsidR="00AE152E" w:rsidRDefault="00AE152E" w:rsidP="0046701A">
            <w:pPr>
              <w:widowControl/>
              <w:wordWrap w:val="0"/>
              <w:jc w:val="righ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填表日期：        </w:t>
            </w:r>
          </w:p>
          <w:p w:rsidR="00AE152E" w:rsidRDefault="00AE152E" w:rsidP="0046701A">
            <w:pPr>
              <w:widowControl/>
              <w:wordWrap w:val="0"/>
              <w:jc w:val="righ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填表人：        </w:t>
            </w:r>
          </w:p>
        </w:tc>
      </w:tr>
    </w:tbl>
    <w:p w:rsidR="00AE152E" w:rsidRDefault="00AE152E" w:rsidP="00AE152E">
      <w:pPr>
        <w:spacing w:line="240" w:lineRule="atLeas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w:t>
      </w:r>
    </w:p>
    <w:p w:rsidR="00AE152E" w:rsidRDefault="00AE152E" w:rsidP="00AE152E">
      <w:pPr>
        <w:spacing w:line="240" w:lineRule="atLeas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1.统计表填写完毕后请重命名为:学院名称/医院名称.</w:t>
      </w:r>
      <w:proofErr w:type="gramStart"/>
      <w:r>
        <w:rPr>
          <w:rFonts w:ascii="仿宋_GB2312" w:eastAsia="仿宋_GB2312" w:hAnsi="仿宋_GB2312" w:cs="仿宋_GB2312" w:hint="eastAsia"/>
          <w:sz w:val="28"/>
          <w:szCs w:val="28"/>
        </w:rPr>
        <w:t>doc</w:t>
      </w:r>
      <w:proofErr w:type="gramEnd"/>
    </w:p>
    <w:p w:rsidR="00AE152E" w:rsidRDefault="00AE152E" w:rsidP="00AE152E">
      <w:pPr>
        <w:spacing w:line="240" w:lineRule="atLeas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2.发送电子邮件的邮件名称为学院名称+</w:t>
      </w:r>
      <w:proofErr w:type="spellStart"/>
      <w:r>
        <w:rPr>
          <w:rFonts w:ascii="仿宋_GB2312" w:eastAsia="仿宋_GB2312" w:hAnsi="仿宋_GB2312" w:cs="仿宋_GB2312" w:hint="eastAsia"/>
          <w:sz w:val="28"/>
          <w:szCs w:val="28"/>
        </w:rPr>
        <w:t>wlwm</w:t>
      </w:r>
      <w:proofErr w:type="spellEnd"/>
      <w:r>
        <w:rPr>
          <w:rFonts w:ascii="仿宋_GB2312" w:eastAsia="仿宋_GB2312" w:hAnsi="仿宋_GB2312" w:cs="仿宋_GB2312" w:hint="eastAsia"/>
          <w:sz w:val="28"/>
          <w:szCs w:val="28"/>
        </w:rPr>
        <w:t>情况统计</w:t>
      </w:r>
    </w:p>
    <w:p w:rsidR="00AE152E" w:rsidRDefault="00AE152E" w:rsidP="00AE152E">
      <w:pPr>
        <w:spacing w:line="240" w:lineRule="atLeas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3.请于4月15日前上交。</w:t>
      </w:r>
    </w:p>
    <w:p w:rsidR="00D77776" w:rsidRDefault="00B44B21">
      <w:bookmarkStart w:id="17" w:name="_GoBack"/>
      <w:bookmarkEnd w:id="17"/>
    </w:p>
    <w:sectPr w:rsidR="00D777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21" w:rsidRDefault="00B44B21" w:rsidP="00AE152E">
      <w:r>
        <w:separator/>
      </w:r>
    </w:p>
  </w:endnote>
  <w:endnote w:type="continuationSeparator" w:id="0">
    <w:p w:rsidR="00B44B21" w:rsidRDefault="00B44B21" w:rsidP="00AE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21" w:rsidRDefault="00B44B21" w:rsidP="00AE152E">
      <w:r>
        <w:separator/>
      </w:r>
    </w:p>
  </w:footnote>
  <w:footnote w:type="continuationSeparator" w:id="0">
    <w:p w:rsidR="00B44B21" w:rsidRDefault="00B44B21" w:rsidP="00AE1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5C"/>
    <w:rsid w:val="000D385C"/>
    <w:rsid w:val="00785C13"/>
    <w:rsid w:val="00AE152E"/>
    <w:rsid w:val="00B44B21"/>
    <w:rsid w:val="00CA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5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5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152E"/>
    <w:rPr>
      <w:sz w:val="18"/>
      <w:szCs w:val="18"/>
    </w:rPr>
  </w:style>
  <w:style w:type="paragraph" w:styleId="a4">
    <w:name w:val="footer"/>
    <w:basedOn w:val="a"/>
    <w:link w:val="Char0"/>
    <w:uiPriority w:val="99"/>
    <w:unhideWhenUsed/>
    <w:rsid w:val="00AE15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152E"/>
    <w:rPr>
      <w:sz w:val="18"/>
      <w:szCs w:val="18"/>
    </w:rPr>
  </w:style>
  <w:style w:type="table" w:styleId="a5">
    <w:name w:val="Table Grid"/>
    <w:basedOn w:val="a1"/>
    <w:uiPriority w:val="59"/>
    <w:rsid w:val="00AE1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AE152E"/>
    <w:pPr>
      <w:ind w:firstLineChars="200" w:firstLine="420"/>
    </w:pPr>
    <w:rPr>
      <w:rFonts w:ascii="Calibri" w:hAnsi="Calibri"/>
      <w:szCs w:val="22"/>
    </w:rPr>
  </w:style>
  <w:style w:type="paragraph" w:styleId="a6">
    <w:name w:val="Balloon Text"/>
    <w:basedOn w:val="a"/>
    <w:link w:val="Char1"/>
    <w:uiPriority w:val="99"/>
    <w:semiHidden/>
    <w:unhideWhenUsed/>
    <w:rsid w:val="00AE152E"/>
    <w:rPr>
      <w:sz w:val="18"/>
      <w:szCs w:val="18"/>
    </w:rPr>
  </w:style>
  <w:style w:type="character" w:customStyle="1" w:styleId="Char1">
    <w:name w:val="批注框文本 Char"/>
    <w:basedOn w:val="a0"/>
    <w:link w:val="a6"/>
    <w:uiPriority w:val="99"/>
    <w:semiHidden/>
    <w:rsid w:val="00AE15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5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5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152E"/>
    <w:rPr>
      <w:sz w:val="18"/>
      <w:szCs w:val="18"/>
    </w:rPr>
  </w:style>
  <w:style w:type="paragraph" w:styleId="a4">
    <w:name w:val="footer"/>
    <w:basedOn w:val="a"/>
    <w:link w:val="Char0"/>
    <w:uiPriority w:val="99"/>
    <w:unhideWhenUsed/>
    <w:rsid w:val="00AE15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152E"/>
    <w:rPr>
      <w:sz w:val="18"/>
      <w:szCs w:val="18"/>
    </w:rPr>
  </w:style>
  <w:style w:type="table" w:styleId="a5">
    <w:name w:val="Table Grid"/>
    <w:basedOn w:val="a1"/>
    <w:uiPriority w:val="59"/>
    <w:rsid w:val="00AE1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AE152E"/>
    <w:pPr>
      <w:ind w:firstLineChars="200" w:firstLine="420"/>
    </w:pPr>
    <w:rPr>
      <w:rFonts w:ascii="Calibri" w:hAnsi="Calibri"/>
      <w:szCs w:val="22"/>
    </w:rPr>
  </w:style>
  <w:style w:type="paragraph" w:styleId="a6">
    <w:name w:val="Balloon Text"/>
    <w:basedOn w:val="a"/>
    <w:link w:val="Char1"/>
    <w:uiPriority w:val="99"/>
    <w:semiHidden/>
    <w:unhideWhenUsed/>
    <w:rsid w:val="00AE152E"/>
    <w:rPr>
      <w:sz w:val="18"/>
      <w:szCs w:val="18"/>
    </w:rPr>
  </w:style>
  <w:style w:type="character" w:customStyle="1" w:styleId="Char1">
    <w:name w:val="批注框文本 Char"/>
    <w:basedOn w:val="a0"/>
    <w:link w:val="a6"/>
    <w:uiPriority w:val="99"/>
    <w:semiHidden/>
    <w:rsid w:val="00AE15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2235;&#12289;&#21508;&#23398;&#38498;&#22242;&#22996;&#38656;&#21450;&#26102;&#32479;&#35745;&#26412;&#23398;&#38498;&#23398;&#29983;&#27880;&#20876;&#24773;&#20917;&#65292;&#24182;&#20110;3&#26376;27&#26085;&#65288;&#26143;&#26399;&#20116;&#65289;&#21069;&#20197;&#30005;&#23376;&#37038;&#20214;&#24418;&#24335;&#25253;&#36865;&#24773;&#20917;&#32479;&#35745;&#34920;&#65288;&#35265;&#38468;&#20214;2&#65289;&#21040;&#26657;&#38738;&#21327;&#31649;&#29702;&#37096;&#37038;&#31665;smuqxglb@163.com&#12290;" TargetMode="External"/><Relationship Id="rId12" Type="http://schemas.openxmlformats.org/officeDocument/2006/relationships/image" Target="media/image5.png"/><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gdzyz.cn"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严力</dc:creator>
  <cp:keywords/>
  <dc:description/>
  <cp:lastModifiedBy>严力</cp:lastModifiedBy>
  <cp:revision>2</cp:revision>
  <dcterms:created xsi:type="dcterms:W3CDTF">2015-03-23T08:24:00Z</dcterms:created>
  <dcterms:modified xsi:type="dcterms:W3CDTF">2015-03-23T08:25:00Z</dcterms:modified>
</cp:coreProperties>
</file>